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88.png" ContentType="image/png"/>
  <Override PartName="/word/media/rId82.png" ContentType="image/png"/>
  <Override PartName="/word/media/rId76.png" ContentType="image/png"/>
  <Override PartName="/word/media/rId79.pdf" ContentType="application/pdf"/>
  <Override PartName="/word/media/rId91.png" ContentType="image/png"/>
  <Override PartName="/word/media/rId85.png" ContentType="image/png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9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</w:t>
      </w:r>
      <w:r>
        <w:t xml:space="preserve"> </w:t>
      </w:r>
      <w:r>
        <w:t xml:space="preserve">on this idea to identify genes associated with multiple 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 and glucose and plasma lipids, with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 We measured similar</w:t>
      </w:r>
      <w:r>
        <w:t xml:space="preserve"> </w:t>
      </w:r>
      <w:r>
        <w:t xml:space="preserve">metabolic traits in the CC-RIX and gene expression from three of the</w:t>
      </w:r>
      <w:r>
        <w:t xml:space="preserve"> </w:t>
      </w:r>
      <w:r>
        <w:t xml:space="preserve">four 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 and infiltrated by</w:t>
      </w:r>
      <w:r>
        <w:t xml:space="preserve"> </w:t>
      </w:r>
      <w:r>
        <w:t xml:space="preserve">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42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45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 Loading for marker genes for other cell types</w:t>
      </w:r>
      <w:r>
        <w:t xml:space="preserve"> </w:t>
      </w:r>
      <w:r>
        <w:t xml:space="preserve">were not statistically different from zero, indicating that changes in</w:t>
      </w:r>
      <w:r>
        <w:t xml:space="preserve"> </w:t>
      </w:r>
      <w:r>
        <w:t xml:space="preserve">the 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70,71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72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73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74,75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76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74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77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78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rPr>
          <w:vertAlign w:val="superscript"/>
        </w:rPr>
        <w:t xml:space="preserve">79,80</w:t>
      </w:r>
      <w:r>
        <w:t xml:space="preserve">. 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87–89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rPr>
          <w:vertAlign w:val="superscript"/>
        </w:rPr>
        <w:t xml:space="preserve">90</w:t>
      </w:r>
      <w:r>
        <w:t xml:space="preserve">. The issue of</w:t>
      </w:r>
      <w:r>
        <w:t xml:space="preserve"> </w:t>
      </w:r>
      <w:r>
        <w:t xml:space="preserve">experimentation, however, is subtle. The dimension-reduction in HDMA is</w:t>
      </w:r>
      <w:r>
        <w:t xml:space="preserve"> </w:t>
      </w:r>
      <w:r>
        <w:t xml:space="preserve">distinguished by the fact that the putative causal intermediates can be</w:t>
      </w:r>
      <w:r>
        <w:t xml:space="preserve"> </w:t>
      </w:r>
      <w:r>
        <w:t xml:space="preserve">emergent states defined by the expression of thousands of genes. This is</w:t>
      </w:r>
      <w:r>
        <w:t xml:space="preserve"> </w:t>
      </w:r>
      <w:r>
        <w:t xml:space="preserve">a strength, because the mediating variable can be a higher-order process</w:t>
      </w:r>
      <w:r>
        <w:t xml:space="preserve"> </w:t>
      </w:r>
      <w:r>
        <w:t xml:space="preserve">such as</w:t>
      </w:r>
      <w:r>
        <w:t xml:space="preserve"> </w:t>
      </w:r>
      <w:r>
        <w:t xml:space="preserve">“</w:t>
      </w:r>
      <w:r>
        <w:t xml:space="preserve">macrophage activation and infiltration</w:t>
      </w:r>
      <w:r>
        <w:t xml:space="preserve">”</w:t>
      </w:r>
      <w:r>
        <w:t xml:space="preserve">, but, in contrast to</w:t>
      </w:r>
      <w:r>
        <w:t xml:space="preserve"> </w:t>
      </w:r>
      <w:r>
        <w:t xml:space="preserve">univariate hypotheses at the level of individual transcripts, the</w:t>
      </w:r>
      <w:r>
        <w:t xml:space="preserve"> </w:t>
      </w:r>
      <w:r>
        <w:t xml:space="preserve">relevant validation experiment may be technologically infeasible,</w:t>
      </w:r>
      <w:r>
        <w:t xml:space="preserve"> </w:t>
      </w:r>
      <w:r>
        <w:t xml:space="preserve">unknowable a priori, or both. Nevertheless, downstream analyses of the</w:t>
      </w:r>
      <w:r>
        <w:t xml:space="preserve"> </w:t>
      </w:r>
      <w:r>
        <w:t xml:space="preserve">composite transcripts strongly supports a causal interpretation. Indeed,</w:t>
      </w:r>
      <w:r>
        <w:t xml:space="preserve"> </w:t>
      </w: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additionally that they have a heritable</w:t>
      </w:r>
      <w:r>
        <w:t xml:space="preserve"> </w:t>
      </w:r>
      <w:r>
        <w:t xml:space="preserve">component, and that some individuals are genetically susceptible to</w:t>
      </w:r>
      <w:r>
        <w:t xml:space="preserve"> </w:t>
      </w:r>
      <w:r>
        <w:t xml:space="preserve">greater adipose inflammation 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9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Islet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SC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YAP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lemental_FigX_Nucb2_eQTL.pd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89" w:name="refs"/>
    <w:bookmarkStart w:id="9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97"/>
    <w:bookmarkStart w:id="9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98"/>
    <w:bookmarkStart w:id="9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99"/>
    <w:bookmarkStart w:id="10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0"/>
    <w:bookmarkStart w:id="10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1"/>
    <w:bookmarkStart w:id="10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2"/>
    <w:bookmarkStart w:id="10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3"/>
    <w:bookmarkStart w:id="10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4"/>
    <w:bookmarkStart w:id="10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5"/>
    <w:bookmarkStart w:id="10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6"/>
    <w:bookmarkStart w:id="10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07"/>
    <w:bookmarkStart w:id="10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08"/>
    <w:bookmarkStart w:id="10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09"/>
    <w:bookmarkStart w:id="11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0"/>
    <w:bookmarkStart w:id="11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1"/>
    <w:bookmarkStart w:id="11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2"/>
    <w:bookmarkStart w:id="11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3"/>
    <w:bookmarkStart w:id="11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4"/>
    <w:bookmarkStart w:id="11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5"/>
    <w:bookmarkStart w:id="11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6"/>
    <w:bookmarkStart w:id="117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17"/>
    <w:bookmarkStart w:id="118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18"/>
    <w:bookmarkStart w:id="119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19"/>
    <w:bookmarkStart w:id="120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0"/>
    <w:bookmarkStart w:id="121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1"/>
    <w:bookmarkStart w:id="122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2"/>
    <w:bookmarkStart w:id="123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3"/>
    <w:bookmarkStart w:id="124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4"/>
    <w:bookmarkStart w:id="125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5"/>
    <w:bookmarkStart w:id="127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6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27"/>
    <w:bookmarkStart w:id="128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28"/>
    <w:bookmarkStart w:id="130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29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0"/>
    <w:bookmarkStart w:id="131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1"/>
    <w:bookmarkStart w:id="132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2"/>
    <w:bookmarkStart w:id="133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3"/>
    <w:bookmarkStart w:id="134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4"/>
    <w:bookmarkStart w:id="135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35"/>
    <w:bookmarkStart w:id="136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36"/>
    <w:bookmarkStart w:id="137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37"/>
    <w:bookmarkStart w:id="138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38"/>
    <w:bookmarkStart w:id="139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39"/>
    <w:bookmarkStart w:id="140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0"/>
    <w:bookmarkStart w:id="141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1"/>
    <w:bookmarkStart w:id="142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2"/>
    <w:bookmarkStart w:id="143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3"/>
    <w:bookmarkStart w:id="144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4"/>
    <w:bookmarkStart w:id="145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45"/>
    <w:bookmarkStart w:id="146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46"/>
    <w:bookmarkStart w:id="147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47"/>
    <w:bookmarkStart w:id="148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48"/>
    <w:bookmarkStart w:id="149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49"/>
    <w:bookmarkStart w:id="150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0"/>
    <w:bookmarkStart w:id="151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1"/>
    <w:bookmarkStart w:id="152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2"/>
    <w:bookmarkStart w:id="153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3"/>
    <w:bookmarkStart w:id="154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4"/>
    <w:bookmarkStart w:id="155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5"/>
    <w:bookmarkStart w:id="156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56"/>
    <w:bookmarkStart w:id="157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57"/>
    <w:bookmarkStart w:id="158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58"/>
    <w:bookmarkStart w:id="159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59"/>
    <w:bookmarkStart w:id="160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0"/>
    <w:bookmarkStart w:id="161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1"/>
    <w:bookmarkStart w:id="162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2"/>
    <w:bookmarkStart w:id="163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3"/>
    <w:bookmarkStart w:id="164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4"/>
    <w:bookmarkStart w:id="165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5"/>
    <w:bookmarkStart w:id="166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66"/>
    <w:bookmarkStart w:id="167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67"/>
    <w:bookmarkStart w:id="168" w:name="ref-pmid28683283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68"/>
    <w:bookmarkStart w:id="169" w:name="ref-pmid15685170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69"/>
    <w:bookmarkStart w:id="170" w:name="ref-pmid3360374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0"/>
    <w:bookmarkStart w:id="171" w:name="ref-pmid3228100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1"/>
    <w:bookmarkStart w:id="172" w:name="ref-pmid27007849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2"/>
    <w:bookmarkStart w:id="173" w:name="ref-pmid2882351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3"/>
    <w:bookmarkStart w:id="174" w:name="ref-pmid24520198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4"/>
    <w:bookmarkStart w:id="175" w:name="ref-pmid21190462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75"/>
    <w:bookmarkStart w:id="176" w:name="ref-pmid16631807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76"/>
    <w:bookmarkStart w:id="177" w:name="ref-pmid38632401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Minikel, E. V., Painter, J. L., Dong, C. C. &amp; Nelson, M. R.</w:t>
      </w:r>
      <w:r>
        <w:t xml:space="preserve"> </w:t>
      </w:r>
      <w:r>
        <w:t xml:space="preserve">R</w:t>
      </w:r>
      <w:r>
        <w:t xml:space="preserve">efining the impact of genetic evidence on clinical success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629</w:t>
      </w:r>
      <w:r>
        <w:t xml:space="preserve">, 624–629 (2024).</w:t>
      </w:r>
    </w:p>
    <w:bookmarkEnd w:id="177"/>
    <w:bookmarkStart w:id="178" w:name="ref-pmid27855690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Katsanis, N.</w:t>
      </w:r>
      <w:r>
        <w:t xml:space="preserve"> </w:t>
      </w:r>
      <w:r>
        <w:t xml:space="preserve">T</w:t>
      </w:r>
      <w:r>
        <w:t xml:space="preserve">he continuum of causality in human genetic disorders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17</w:t>
      </w:r>
      <w:r>
        <w:t xml:space="preserve">, 233 (2016).</w:t>
      </w:r>
    </w:p>
    <w:bookmarkEnd w:id="178"/>
    <w:bookmarkStart w:id="179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79"/>
    <w:bookmarkStart w:id="180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0"/>
    <w:bookmarkStart w:id="181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1"/>
    <w:bookmarkStart w:id="182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2"/>
    <w:bookmarkStart w:id="183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3"/>
    <w:bookmarkStart w:id="184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4"/>
    <w:bookmarkStart w:id="185" w:name="ref-pmid221088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85"/>
    <w:bookmarkStart w:id="186" w:name="ref-pmid2353708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86"/>
    <w:bookmarkStart w:id="187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87"/>
    <w:bookmarkStart w:id="188" w:name="ref-pearl2009causality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Pearl, J.</w:t>
      </w:r>
      <w:r>
        <w:t xml:space="preserve"> </w:t>
      </w:r>
      <w:r>
        <w:rPr>
          <w:iCs/>
          <w:i/>
        </w:rPr>
        <w:t xml:space="preserve">Causality</w:t>
      </w:r>
      <w:r>
        <w:t xml:space="preserve">. (Cambridge University Press, 2009).</w:t>
      </w:r>
    </w:p>
    <w:bookmarkEnd w:id="188"/>
    <w:bookmarkEnd w:id="189"/>
    <w:bookmarkEnd w:id="1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94" Target="media/rId94.pdf" /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2024-08-30T19:41:07Z</dcterms:created>
  <dcterms:modified xsi:type="dcterms:W3CDTF">2024-08-30T19:41:07Z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